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59EB9" w14:textId="3F097410" w:rsidR="00CF1206" w:rsidRDefault="00CF1206" w:rsidP="00CF1206">
      <w:r>
        <w:t xml:space="preserve">Our commitment to continuous improvement starts with our beef industry sustainability goals and sector-level targets. We have set an ambitious goal for Air and Greenhouse Gas Emissions, one of the six high-priority indicators of sustainability that we focus on. </w:t>
      </w:r>
    </w:p>
    <w:p w14:paraId="52CA0043" w14:textId="1077304A" w:rsidR="00CF1206" w:rsidRDefault="00CF1206" w:rsidP="00CF1206">
      <w:r>
        <w:t xml:space="preserve">To achieve our goal of climate neutrality for the U.S. beef supply chain by 2040, we've developed sector-level targets that drive collective progress and ensure every sector actively contributes to continuous improvement. Together, we’re striving to create a better future for generations to come through ongoing innovation! </w:t>
      </w:r>
    </w:p>
    <w:p w14:paraId="0FDE2B40" w14:textId="6338FCB1" w:rsidR="00CF1206" w:rsidRDefault="00CF1206" w:rsidP="00CF1206">
      <w:r>
        <w:t xml:space="preserve">Scroll through to learn more about the targets that have been set by each sector of the beef supply chain. </w:t>
      </w:r>
    </w:p>
    <w:p w14:paraId="4AB2C167" w14:textId="592DFBA2" w:rsidR="00EA684B" w:rsidRPr="00CF1206" w:rsidRDefault="00CF1206" w:rsidP="00CF1206">
      <w:r>
        <w:t>#SustainableBeef #ContinuousImprovement #USRSB</w:t>
      </w:r>
    </w:p>
    <w:sectPr w:rsidR="00EA684B" w:rsidRPr="00CF12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6E1"/>
    <w:rsid w:val="001359A2"/>
    <w:rsid w:val="00232D5C"/>
    <w:rsid w:val="00891EE8"/>
    <w:rsid w:val="008953C8"/>
    <w:rsid w:val="00CF1206"/>
    <w:rsid w:val="00E026E1"/>
    <w:rsid w:val="00EA684B"/>
    <w:rsid w:val="00EB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FCF7C"/>
  <w15:chartTrackingRefBased/>
  <w15:docId w15:val="{4774D056-B029-46A4-BAC8-D1C3F0BD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2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26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26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26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26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26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6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26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6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26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6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26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26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26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26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6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2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2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2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26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26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26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26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26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26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0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Farley</dc:creator>
  <cp:keywords/>
  <dc:description/>
  <cp:lastModifiedBy>Megan Farley</cp:lastModifiedBy>
  <cp:revision>2</cp:revision>
  <dcterms:created xsi:type="dcterms:W3CDTF">2024-07-09T21:58:00Z</dcterms:created>
  <dcterms:modified xsi:type="dcterms:W3CDTF">2024-07-09T21:58:00Z</dcterms:modified>
</cp:coreProperties>
</file>